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3864"/>
          <w:sz w:val="40"/>
          <w:szCs w:val="40"/>
        </w:rPr>
        <w:t xml:space="preserve">Programa de Gestión de Cambio eKOGUI</w:t>
      </w:r>
    </w:p>
    <w:p>
      <w:pPr>
        <w:spacing w:after="40"/>
        <w:jc w:val="center"/>
      </w:pPr>
      <w:r>
        <w:rPr>
          <w:b/>
          <w:bCs/>
          <w:color w:val="B08D57"/>
          <w:sz w:val="26"/>
          <w:szCs w:val="26"/>
        </w:rPr>
        <w:t xml:space="preserve">Versión Simplificada — Enfoque Pedagógico y de Onboarding</w:t>
      </w:r>
    </w:p>
    <w:p>
      <w:pPr>
        <w:spacing w:after="300"/>
        <w:jc w:val="center"/>
      </w:pPr>
      <w:r>
        <w:rPr>
          <w:i/>
          <w:iCs/>
          <w:color w:val="595959"/>
          <w:sz w:val="20"/>
          <w:szCs w:val="20"/>
        </w:rPr>
        <w:t xml:space="preserve">Guía general para la formación y el acompañamiento territorial en cualquier entidad que adopte eKOGUI</w:t>
      </w:r>
    </w:p>
    <w:p>
      <w:pPr>
        <w:pStyle w:val="Heading1"/>
        <w:spacing w:after="160" w:before="360"/>
      </w:pPr>
      <w:r>
        <w:rPr>
          <w:b/>
          <w:bCs/>
          <w:color w:val="1F3864"/>
          <w:sz w:val="30"/>
          <w:szCs w:val="30"/>
        </w:rPr>
        <w:t xml:space="preserve">1. Propósito y alcance</w:t>
      </w:r>
    </w:p>
    <w:p>
      <w:pPr>
        <w:spacing w:after="160" w:line="276"/>
      </w:pPr>
      <w:r>
        <w:rPr>
          <w:sz w:val="21"/>
          <w:szCs w:val="21"/>
        </w:rPr>
        <w:t xml:space="preserve">Este documento es una versión simplificada del Programa de Gestión de Cambio en el Ciclo de Defensa Jurídica del Estado, redactada para cualquier entidad territorial que adopte eKOGUI (gobernación, alcaldía, hospital público, instituto, etc.), sin referencia a un piloto o territorio en particular. Conserva únicamente los elementos con función pedagógica y de onboarding, dejando fuera los componentes de diagnóstico específico, comunicaciones, cumplimiento normativo, financieros y de continuidad, que se documentan por separado en la caja de herramientas completa.</w:t>
      </w:r>
    </w:p>
    <w:p>
      <w:pPr>
        <w:spacing w:after="160" w:line="276"/>
      </w:pPr>
      <w:r>
        <w:rPr>
          <w:sz w:val="21"/>
          <w:szCs w:val="21"/>
        </w:rPr>
        <w:t xml:space="preserve">Propósito: asegurar que cada persona que asuma un rol de responsable, agente de enlace o servidor operativo en el programa eKOGUI pueda formarse y ponerse al día rápidamente, con evidencia verificable de sus competencias, sin depender de la memoria de quien ocupó el cargo antes.</w:t>
      </w:r>
    </w:p>
    <w:p>
      <w:pPr>
        <w:spacing w:after="160" w:line="276"/>
      </w:pPr>
      <w:r>
        <w:rPr>
          <w:sz w:val="21"/>
          <w:szCs w:val="21"/>
        </w:rPr>
        <w:t xml:space="preserve">Alcance: cubre el marco metodológico de cambio, la gobernanza mínima que sostiene la formación, el desarrollo de capacidades por rol, la certificación progresiva y el taller de arranque territorial. Es agnóstico de territorio: puede aplicarse igual en el primer despliegue de una entidad o en su relanzamiento tras un cambio de responsable.</w:t>
      </w:r>
    </w:p>
    <w:p>
      <w:pPr>
        <w:spacing w:after="160" w:line="276"/>
      </w:pPr>
      <w:r>
        <w:rPr>
          <w:sz w:val="21"/>
          <w:szCs w:val="21"/>
        </w:rPr>
        <w:t xml:space="preserve">Principios: (i) propiedad institucional — la entidad decide y ejecuta su propia formación; (ii) valor público primero — calidad antes que cobertura; (iii) pertinencia territorial — contenidos y casos adaptados al contexto local; (iv) evidencia verificable — cada logro de aprendizaje deja un registro auditable; (v) simplicidad — formatos livianos, utilizables incluso con baja conectividad.</w:t>
      </w:r>
    </w:p>
    <w:p>
      <w:pPr>
        <w:pStyle w:val="Heading1"/>
        <w:spacing w:after="160" w:before="360"/>
      </w:pPr>
      <w:r>
        <w:rPr>
          <w:b/>
          <w:bCs/>
          <w:color w:val="1F3864"/>
          <w:sz w:val="30"/>
          <w:szCs w:val="30"/>
        </w:rPr>
        <w:t xml:space="preserve">2. Marco metodológico: ADKAR + AAA</w:t>
      </w:r>
    </w:p>
    <w:p>
      <w:pPr>
        <w:spacing w:after="160" w:line="276"/>
      </w:pPr>
      <w:r>
        <w:rPr>
          <w:sz w:val="21"/>
          <w:szCs w:val="21"/>
        </w:rPr>
        <w:t xml:space="preserve">El programa combina dos marcos complementarios: ADKAR, que gestiona la resistencia al cambio en cinco etapas (Conciencia, Deseo, Conocimiento, Habilidad, Refuerzo), y AAA (diseño de experiencias de aprendizaje adaptadas al territorio y al aprendizaje adulto). Juntos permiten que la formación no sea solo informativa, sino que produzca un cambio de conducta sostenible.</w:t>
      </w:r>
    </w:p>
    <w:p>
      <w:pPr>
        <w:pStyle w:val="ListParagraph"/>
        <w:numPr>
          <w:ilvl w:val="0"/>
          <w:numId w:val="2"/>
        </w:numPr>
        <w:spacing w:after="80" w:line="276"/>
      </w:pPr>
      <w:r>
        <w:rPr>
          <w:sz w:val="21"/>
          <w:szCs w:val="21"/>
        </w:rPr>
        <w:t xml:space="preserve">Conciencia: narrativas que conectan eKOGUI con la garantía de derechos y la calidad del servicio jurídico.</w:t>
      </w:r>
    </w:p>
    <w:p>
      <w:pPr>
        <w:pStyle w:val="ListParagraph"/>
        <w:numPr>
          <w:ilvl w:val="0"/>
          <w:numId w:val="2"/>
        </w:numPr>
        <w:spacing w:after="80" w:line="276"/>
      </w:pPr>
      <w:r>
        <w:rPr>
          <w:sz w:val="21"/>
          <w:szCs w:val="21"/>
        </w:rPr>
        <w:t xml:space="preserve">Deseo: quick wins visibles — menos carga operativa y mejores tiempos de respuesta.</w:t>
      </w:r>
    </w:p>
    <w:p>
      <w:pPr>
        <w:pStyle w:val="ListParagraph"/>
        <w:numPr>
          <w:ilvl w:val="0"/>
          <w:numId w:val="2"/>
        </w:numPr>
        <w:spacing w:after="80" w:line="276"/>
      </w:pPr>
      <w:r>
        <w:rPr>
          <w:sz w:val="21"/>
          <w:szCs w:val="21"/>
        </w:rPr>
        <w:t xml:space="preserve">Conocimiento: contenidos y casos contextualizados al territorio.</w:t>
      </w:r>
    </w:p>
    <w:p>
      <w:pPr>
        <w:pStyle w:val="ListParagraph"/>
        <w:numPr>
          <w:ilvl w:val="0"/>
          <w:numId w:val="2"/>
        </w:numPr>
        <w:spacing w:after="80" w:line="276"/>
      </w:pPr>
      <w:r>
        <w:rPr>
          <w:sz w:val="21"/>
          <w:szCs w:val="21"/>
        </w:rPr>
        <w:t xml:space="preserve">Habilidad: trayectos progresivos según el nivel de partida de cada servidor.</w:t>
      </w:r>
    </w:p>
    <w:p>
      <w:pPr>
        <w:pStyle w:val="ListParagraph"/>
        <w:numPr>
          <w:ilvl w:val="0"/>
          <w:numId w:val="2"/>
        </w:numPr>
        <w:spacing w:after="80" w:line="276"/>
      </w:pPr>
      <w:r>
        <w:rPr>
          <w:sz w:val="21"/>
          <w:szCs w:val="21"/>
        </w:rPr>
        <w:t xml:space="preserve">Refuerzo: mecanismos que sostienen el aprendizaje más allá de cambios de administración o de persona a cargo.</w:t>
      </w:r>
    </w:p>
    <w:p>
      <w:pPr>
        <w:spacing w:after="160" w:line="276"/>
      </w:pPr>
      <w:r>
        <w:rPr>
          <w:sz w:val="21"/>
          <w:szCs w:val="21"/>
        </w:rPr>
        <w:t xml:space="preserve">La entidad diligencia su propio Mapa de experiencia ADKAR+AAA en la primera semana, usando la plantilla de la caja de herramientas (Anexo A del programa completo).</w:t>
      </w:r>
    </w:p>
    <w:p>
      <w:pPr>
        <w:pStyle w:val="Heading1"/>
        <w:spacing w:after="160" w:before="360"/>
      </w:pPr>
      <w:r>
        <w:rPr>
          <w:b/>
          <w:bCs/>
          <w:color w:val="1F3864"/>
          <w:sz w:val="30"/>
          <w:szCs w:val="30"/>
        </w:rPr>
        <w:t xml:space="preserve">3. Gobernanza mínima para sostener la formación</w:t>
      </w:r>
    </w:p>
    <w:p>
      <w:pPr>
        <w:spacing w:after="160" w:line="276"/>
      </w:pPr>
      <w:r>
        <w:rPr>
          <w:sz w:val="21"/>
          <w:szCs w:val="21"/>
        </w:rPr>
        <w:t xml:space="preserve">La gobernanza no es un trámite: es lo que asegura que la formación tenga dueño, ritmo y continuidad, incluso cuando cambian las personas. Estos son los roles mínimos relevantes para el onboarding:</w:t>
      </w:r>
    </w:p>
    <w:p>
      <w:pPr>
        <w:pStyle w:val="ListParagraph"/>
        <w:numPr>
          <w:ilvl w:val="0"/>
          <w:numId w:val="2"/>
        </w:numPr>
        <w:spacing w:after="80" w:line="276"/>
      </w:pPr>
      <w:r>
        <w:rPr>
          <w:b/>
          <w:bCs/>
          <w:color w:val="1F3864"/>
          <w:sz w:val="21"/>
          <w:szCs w:val="21"/>
        </w:rPr>
        <w:t xml:space="preserve">Patrocinio visible </w:t>
      </w:r>
      <w:r>
        <w:rPr>
          <w:sz w:val="21"/>
          <w:szCs w:val="21"/>
        </w:rPr>
        <w:t xml:space="preserve">(máxima autoridad / Secretaría General): valida prioridades de formación y respalda públicamente el programa.</w:t>
      </w:r>
    </w:p>
    <w:p>
      <w:pPr>
        <w:pStyle w:val="ListParagraph"/>
        <w:numPr>
          <w:ilvl w:val="0"/>
          <w:numId w:val="2"/>
        </w:numPr>
        <w:spacing w:after="80" w:line="276"/>
      </w:pPr>
      <w:r>
        <w:rPr>
          <w:b/>
          <w:bCs/>
          <w:color w:val="1F3864"/>
          <w:sz w:val="21"/>
          <w:szCs w:val="21"/>
        </w:rPr>
        <w:t xml:space="preserve">Comité Directivo </w:t>
      </w:r>
      <w:r>
        <w:rPr>
          <w:sz w:val="21"/>
          <w:szCs w:val="21"/>
        </w:rPr>
        <w:t xml:space="preserve">(Jurídica, TIC, Planeación, Archivo, Control Interno): aprueba estándares de competencia, revisa el semáforo de certificaciones y decide sobre bloqueos.</w:t>
      </w:r>
    </w:p>
    <w:p>
      <w:pPr>
        <w:pStyle w:val="ListParagraph"/>
        <w:numPr>
          <w:ilvl w:val="0"/>
          <w:numId w:val="2"/>
        </w:numPr>
        <w:spacing w:after="80" w:line="276"/>
      </w:pPr>
      <w:r>
        <w:rPr>
          <w:b/>
          <w:bCs/>
          <w:color w:val="1F3864"/>
          <w:sz w:val="21"/>
          <w:szCs w:val="21"/>
        </w:rPr>
        <w:t xml:space="preserve">Líder de Gestión de Cambio (Change Manager) </w:t>
      </w:r>
      <w:r>
        <w:rPr>
          <w:sz w:val="21"/>
          <w:szCs w:val="21"/>
        </w:rPr>
        <w:t xml:space="preserve">quien organiza el onboarding de nuevos responsables, coordina mentorías y publica el semáforo de avance de formación.</w:t>
      </w:r>
    </w:p>
    <w:p>
      <w:pPr>
        <w:pStyle w:val="ListParagraph"/>
        <w:numPr>
          <w:ilvl w:val="0"/>
          <w:numId w:val="2"/>
        </w:numPr>
        <w:spacing w:after="80" w:line="276"/>
      </w:pPr>
      <w:r>
        <w:rPr>
          <w:b/>
          <w:bCs/>
          <w:color w:val="1F3864"/>
          <w:sz w:val="21"/>
          <w:szCs w:val="21"/>
        </w:rPr>
        <w:t xml:space="preserve">Agentes de enlace </w:t>
      </w:r>
      <w:r>
        <w:rPr>
          <w:sz w:val="21"/>
          <w:szCs w:val="21"/>
        </w:rPr>
        <w:t xml:space="preserve">(uno por entidad/territorio): ejecutan la formación en campo, registran evidencias y activan alertas cuando hay bloqueos.</w:t>
      </w:r>
    </w:p>
    <w:p>
      <w:pPr>
        <w:spacing w:after="160" w:line="276"/>
      </w:pPr>
      <w:r>
        <w:rPr>
          <w:sz w:val="21"/>
          <w:szCs w:val="21"/>
        </w:rPr>
        <w:t xml:space="preserve">Regla operativa clave: toda decisión de formación (certificación, cambio de trayecto, activación de mentoría) queda en acta, con responsable y fecha, para que quien releve el cargo tenga trazabilidad completa.</w:t>
      </w:r>
    </w:p>
    <w:p>
      <w:pPr>
        <w:pStyle w:val="Heading1"/>
        <w:spacing w:after="160" w:before="360"/>
      </w:pPr>
      <w:r>
        <w:rPr>
          <w:b/>
          <w:bCs/>
          <w:color w:val="1F3864"/>
          <w:sz w:val="30"/>
          <w:szCs w:val="30"/>
        </w:rPr>
        <w:t xml:space="preserve">4. Segmentación y mentoría entre pares</w:t>
      </w:r>
    </w:p>
    <w:p>
      <w:pPr>
        <w:spacing w:after="160" w:line="276"/>
      </w:pPr>
      <w:r>
        <w:rPr>
          <w:sz w:val="21"/>
          <w:szCs w:val="21"/>
        </w:rPr>
        <w:t xml:space="preserve">Antes de formar, conviene ubicar a cada territorio o entidad en un mapa de madurez (olas logísticas) y desempeño (clústeres operativos). Esto permite decidir qué tipo de acompañamiento necesita: cierre de mínimos de estructura, mejora de calidad de datos, o incremento de volumen de información gestionada.</w:t>
      </w:r>
    </w:p>
    <w:p>
      <w:pPr>
        <w:spacing w:after="160" w:line="276"/>
      </w:pPr>
      <w:r>
        <w:rPr>
          <w:sz w:val="21"/>
          <w:szCs w:val="21"/>
        </w:rPr>
        <w:t xml:space="preserve">La segmentación habilita mentorías entre pares: territorios o entidades más maduras guían a las que están arrancando, mediante sesiones periódicas con metas a 30 días y bitácora de seguimiento. Este mecanismo es la respuesta estructural a la alta rotación de responsables: quien entra nuevo no aprende solo por ensayo y error, sino acompañado por un mentor con experiencia real en el programa.</w:t>
      </w:r>
    </w:p>
    <w:p>
      <w:pPr>
        <w:pStyle w:val="Heading1"/>
        <w:spacing w:after="160" w:before="360"/>
      </w:pPr>
      <w:r>
        <w:rPr>
          <w:b/>
          <w:bCs/>
          <w:color w:val="1F3864"/>
          <w:sz w:val="30"/>
          <w:szCs w:val="30"/>
        </w:rPr>
        <w:t xml:space="preserve">5. Desarrollo de capacidades (núcleo pedagógico)</w:t>
      </w:r>
    </w:p>
    <w:p>
      <w:pPr>
        <w:spacing w:after="160" w:line="276"/>
      </w:pPr>
      <w:r>
        <w:rPr>
          <w:sz w:val="21"/>
          <w:szCs w:val="21"/>
        </w:rPr>
        <w:t xml:space="preserve">Esta es la sección central del programa: el motor que convierte el plan en práctica diaria, organizado para que la propia entidad ejecute su formación sin depender de terceros.</w:t>
      </w:r>
    </w:p>
    <w:p>
      <w:pPr>
        <w:pStyle w:val="Heading2"/>
        <w:spacing w:after="110" w:before="260"/>
      </w:pPr>
      <w:r>
        <w:rPr>
          <w:b/>
          <w:bCs/>
          <w:color w:val="1F3864"/>
          <w:sz w:val="24"/>
          <w:szCs w:val="24"/>
        </w:rPr>
        <w:t xml:space="preserve">5.1 Modalidades</w:t>
      </w:r>
    </w:p>
    <w:p>
      <w:pPr>
        <w:pStyle w:val="ListParagraph"/>
        <w:numPr>
          <w:ilvl w:val="0"/>
          <w:numId w:val="2"/>
        </w:numPr>
        <w:spacing w:after="80" w:line="276"/>
      </w:pPr>
      <w:r>
        <w:rPr>
          <w:sz w:val="21"/>
          <w:szCs w:val="21"/>
        </w:rPr>
        <w:t xml:space="preserve">Aprender haciendo: simulaciones con casos reales del territorio y rúbricas de calidad.</w:t>
      </w:r>
    </w:p>
    <w:p>
      <w:pPr>
        <w:pStyle w:val="ListParagraph"/>
        <w:numPr>
          <w:ilvl w:val="0"/>
          <w:numId w:val="2"/>
        </w:numPr>
        <w:spacing w:after="80" w:line="276"/>
      </w:pPr>
      <w:r>
        <w:rPr>
          <w:sz w:val="21"/>
          <w:szCs w:val="21"/>
        </w:rPr>
        <w:t xml:space="preserve">Aprendizaje híbrido: microaprendizajes en HTML liviano (≤1,5 MB) combinados con talleres presenciales cortos.</w:t>
      </w:r>
    </w:p>
    <w:p>
      <w:pPr>
        <w:pStyle w:val="ListParagraph"/>
        <w:numPr>
          <w:ilvl w:val="0"/>
          <w:numId w:val="2"/>
        </w:numPr>
        <w:spacing w:after="80" w:line="276"/>
      </w:pPr>
      <w:r>
        <w:rPr>
          <w:sz w:val="21"/>
          <w:szCs w:val="21"/>
        </w:rPr>
        <w:t xml:space="preserve">Aprender entre pares: mentorías donde quienes ya dominan el proceso comparten soluciones y sostienen el estándar.</w:t>
      </w:r>
    </w:p>
    <w:p>
      <w:pPr>
        <w:pStyle w:val="Heading2"/>
        <w:spacing w:after="110" w:before="260"/>
      </w:pPr>
      <w:r>
        <w:rPr>
          <w:b/>
          <w:bCs/>
          <w:color w:val="1F3864"/>
          <w:sz w:val="24"/>
          <w:szCs w:val="24"/>
        </w:rPr>
        <w:t xml:space="preserve">5.2 Propósito operativo</w:t>
      </w:r>
    </w:p>
    <w:p>
      <w:pPr>
        <w:pStyle w:val="ListParagraph"/>
        <w:numPr>
          <w:ilvl w:val="0"/>
          <w:numId w:val="2"/>
        </w:numPr>
        <w:spacing w:after="80" w:line="276"/>
      </w:pPr>
      <w:r>
        <w:rPr>
          <w:sz w:val="21"/>
          <w:szCs w:val="21"/>
        </w:rPr>
        <w:t xml:space="preserve">Alinear competencias por rol (PQRS/DERPE, Jurídica, Archivo, Directiva, TIC) con las brechas reales de cada entidad.</w:t>
      </w:r>
    </w:p>
    <w:p>
      <w:pPr>
        <w:pStyle w:val="ListParagraph"/>
        <w:numPr>
          <w:ilvl w:val="0"/>
          <w:numId w:val="2"/>
        </w:numPr>
        <w:spacing w:after="80" w:line="276"/>
      </w:pPr>
      <w:r>
        <w:rPr>
          <w:sz w:val="21"/>
          <w:szCs w:val="21"/>
        </w:rPr>
        <w:t xml:space="preserve">Garantizar habilidad demostrable —no solo asistencia— mediante rúbricas, checklists y evidencias cargadas en eKOGUI.</w:t>
      </w:r>
    </w:p>
    <w:p>
      <w:pPr>
        <w:pStyle w:val="ListParagraph"/>
        <w:numPr>
          <w:ilvl w:val="0"/>
          <w:numId w:val="2"/>
        </w:numPr>
        <w:spacing w:after="80" w:line="276"/>
      </w:pPr>
      <w:r>
        <w:rPr>
          <w:sz w:val="21"/>
          <w:szCs w:val="21"/>
        </w:rPr>
        <w:t xml:space="preserve">Asegurar continuidad ante la rotación de personal, mediante microcápsulas, procedimientos estandarizados y certificación progresiva.</w:t>
      </w:r>
    </w:p>
    <w:p>
      <w:pPr>
        <w:pStyle w:val="Heading2"/>
        <w:spacing w:after="110" w:before="260"/>
      </w:pPr>
      <w:r>
        <w:rPr>
          <w:b/>
          <w:bCs/>
          <w:color w:val="1F3864"/>
          <w:sz w:val="24"/>
          <w:szCs w:val="24"/>
        </w:rPr>
        <w:t xml:space="preserve">5.3 Principios de diseño</w:t>
      </w:r>
    </w:p>
    <w:p>
      <w:pPr>
        <w:pStyle w:val="ListParagraph"/>
        <w:numPr>
          <w:ilvl w:val="0"/>
          <w:numId w:val="2"/>
        </w:numPr>
        <w:spacing w:after="80" w:line="276"/>
      </w:pPr>
      <w:r>
        <w:rPr>
          <w:sz w:val="21"/>
          <w:szCs w:val="21"/>
        </w:rPr>
        <w:t xml:space="preserve">Aprendizaje situado: contenidos y casos territoriales, con lenguaje claro y normatividad aplicable.</w:t>
      </w:r>
    </w:p>
    <w:p>
      <w:pPr>
        <w:pStyle w:val="ListParagraph"/>
        <w:numPr>
          <w:ilvl w:val="0"/>
          <w:numId w:val="2"/>
        </w:numPr>
        <w:spacing w:after="80" w:line="276"/>
      </w:pPr>
      <w:r>
        <w:rPr>
          <w:sz w:val="21"/>
          <w:szCs w:val="21"/>
        </w:rPr>
        <w:t xml:space="preserve">Paso a paso y medible: cada módulo termina con un entregable verificable.</w:t>
      </w:r>
    </w:p>
    <w:p>
      <w:pPr>
        <w:pStyle w:val="ListParagraph"/>
        <w:numPr>
          <w:ilvl w:val="0"/>
          <w:numId w:val="2"/>
        </w:numPr>
        <w:spacing w:after="80" w:line="276"/>
      </w:pPr>
      <w:r>
        <w:rPr>
          <w:sz w:val="21"/>
          <w:szCs w:val="21"/>
        </w:rPr>
        <w:t xml:space="preserve">Baja conectividad por principio: formatos ligeros, descargables y reutilizables en campo.</w:t>
      </w:r>
    </w:p>
    <w:p>
      <w:pPr>
        <w:pStyle w:val="ListParagraph"/>
        <w:numPr>
          <w:ilvl w:val="0"/>
          <w:numId w:val="2"/>
        </w:numPr>
        <w:spacing w:after="80" w:line="276"/>
      </w:pPr>
      <w:r>
        <w:rPr>
          <w:sz w:val="21"/>
          <w:szCs w:val="21"/>
        </w:rPr>
        <w:t xml:space="preserve">Centrado en el rol: cada perfil recibe solo lo que necesita para cumplir sus términos y estándares.</w:t>
      </w:r>
    </w:p>
    <w:p>
      <w:pPr>
        <w:pStyle w:val="Heading2"/>
        <w:spacing w:after="110" w:before="260"/>
      </w:pPr>
      <w:r>
        <w:rPr>
          <w:b/>
          <w:bCs/>
          <w:color w:val="1F3864"/>
          <w:sz w:val="24"/>
          <w:szCs w:val="24"/>
        </w:rPr>
        <w:t xml:space="preserve">5.4 Cómo se usa (pasos prácticos)</w:t>
      </w:r>
    </w:p>
    <w:p>
      <w:pPr>
        <w:pStyle w:val="ListParagraph"/>
        <w:numPr>
          <w:ilvl w:val="0"/>
          <w:numId w:val="2"/>
        </w:numPr>
        <w:spacing w:after="80" w:line="276"/>
      </w:pPr>
      <w:r>
        <w:rPr>
          <w:sz w:val="21"/>
          <w:szCs w:val="21"/>
        </w:rPr>
        <w:t xml:space="preserve">Mapear brechas y seleccionar los módulos de la malla curricular por rol para cada equipo.</w:t>
      </w:r>
    </w:p>
    <w:p>
      <w:pPr>
        <w:pStyle w:val="ListParagraph"/>
        <w:numPr>
          <w:ilvl w:val="0"/>
          <w:numId w:val="2"/>
        </w:numPr>
        <w:spacing w:after="80" w:line="276"/>
      </w:pPr>
      <w:r>
        <w:rPr>
          <w:sz w:val="21"/>
          <w:szCs w:val="21"/>
        </w:rPr>
        <w:t xml:space="preserve">Asignar casos del banco de casos territoriales según el nivel de complejidad adecuado.</w:t>
      </w:r>
    </w:p>
    <w:p>
      <w:pPr>
        <w:pStyle w:val="ListParagraph"/>
        <w:numPr>
          <w:ilvl w:val="0"/>
          <w:numId w:val="2"/>
        </w:numPr>
        <w:spacing w:after="80" w:line="276"/>
      </w:pPr>
      <w:r>
        <w:rPr>
          <w:sz w:val="21"/>
          <w:szCs w:val="21"/>
        </w:rPr>
        <w:t xml:space="preserve">Planificar el consumo de microlearning en ventanas de conectividad disponibles y agendar talleres breves.</w:t>
      </w:r>
    </w:p>
    <w:p>
      <w:pPr>
        <w:pStyle w:val="ListParagraph"/>
        <w:numPr>
          <w:ilvl w:val="0"/>
          <w:numId w:val="2"/>
        </w:numPr>
        <w:spacing w:after="80" w:line="276"/>
      </w:pPr>
      <w:r>
        <w:rPr>
          <w:sz w:val="21"/>
          <w:szCs w:val="21"/>
        </w:rPr>
        <w:t xml:space="preserve">Evaluar con rúbricas y cargar evidencias (capturas, reportes, actas) en el repositorio institucional.</w:t>
      </w:r>
    </w:p>
    <w:p>
      <w:pPr>
        <w:pStyle w:val="ListParagraph"/>
        <w:numPr>
          <w:ilvl w:val="0"/>
          <w:numId w:val="2"/>
        </w:numPr>
        <w:spacing w:after="80" w:line="276"/>
      </w:pPr>
      <w:r>
        <w:rPr>
          <w:sz w:val="21"/>
          <w:szCs w:val="21"/>
        </w:rPr>
        <w:t xml:space="preserve">Certificar periódicamente con el sistema de certificación progresiva y reportar al Comité.</w:t>
      </w:r>
    </w:p>
    <w:p>
      <w:pPr>
        <w:pStyle w:val="Heading2"/>
        <w:spacing w:after="110" w:before="260"/>
      </w:pPr>
      <w:r>
        <w:rPr>
          <w:b/>
          <w:bCs/>
          <w:color w:val="1F3864"/>
          <w:sz w:val="24"/>
          <w:szCs w:val="24"/>
        </w:rPr>
        <w:t xml:space="preserve">5.5 Resultados esperados por rol (evidencia mínima)</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200"/>
        <w:gridCol w:w="5760"/>
      </w:tblGrid>
      <w:tr>
        <w:trPr>
          <w:tblHeader/>
        </w:trPr>
        <w:tc>
          <w:tcPr>
            <w:tcW w:type="dxa" w:w="3200"/>
            <w:shd w:fill="1F3864" w:val="clear"/>
            <w:tcMar>
              <w:top w:type="dxa" w:w="80"/>
              <w:left w:type="dxa" w:w="100"/>
              <w:bottom w:type="dxa" w:w="80"/>
              <w:right w:type="dxa" w:w="100"/>
            </w:tcMar>
            <w:vAlign w:val="center"/>
          </w:tcPr>
          <w:p>
            <w:r>
              <w:rPr>
                <w:b/>
                <w:bCs/>
                <w:color w:val="FFFFFF"/>
                <w:sz w:val="19"/>
                <w:szCs w:val="19"/>
              </w:rPr>
              <w:t xml:space="preserve">Rol</w:t>
            </w:r>
          </w:p>
        </w:tc>
        <w:tc>
          <w:tcPr>
            <w:tcW w:type="dxa" w:w="5760"/>
            <w:shd w:fill="1F3864" w:val="clear"/>
            <w:tcMar>
              <w:top w:type="dxa" w:w="80"/>
              <w:left w:type="dxa" w:w="100"/>
              <w:bottom w:type="dxa" w:w="80"/>
              <w:right w:type="dxa" w:w="100"/>
            </w:tcMar>
            <w:vAlign w:val="center"/>
          </w:tcPr>
          <w:p>
            <w:r>
              <w:rPr>
                <w:b/>
                <w:bCs/>
                <w:color w:val="FFFFFF"/>
                <w:sz w:val="19"/>
                <w:szCs w:val="19"/>
              </w:rPr>
              <w:t xml:space="preserve">Evidencia mínima esperada</w:t>
            </w:r>
          </w:p>
        </w:tc>
      </w:tr>
      <w:tr>
        <w:tc>
          <w:tcPr>
            <w:tcW w:type="dxa" w:w="3200"/>
            <w:tcMar>
              <w:top w:type="dxa" w:w="80"/>
              <w:left w:type="dxa" w:w="100"/>
              <w:bottom w:type="dxa" w:w="80"/>
              <w:right w:type="dxa" w:w="100"/>
            </w:tcMar>
            <w:vAlign w:val="center"/>
          </w:tcPr>
          <w:p>
            <w:r>
              <w:rPr>
                <w:sz w:val="19"/>
                <w:szCs w:val="19"/>
              </w:rPr>
              <w:t xml:space="preserve">PQRS/DERPE</w:t>
            </w:r>
          </w:p>
        </w:tc>
        <w:tc>
          <w:tcPr>
            <w:tcW w:type="dxa" w:w="5760"/>
            <w:tcMar>
              <w:top w:type="dxa" w:w="80"/>
              <w:left w:type="dxa" w:w="100"/>
              <w:bottom w:type="dxa" w:w="80"/>
              <w:right w:type="dxa" w:w="100"/>
            </w:tcMar>
            <w:vAlign w:val="center"/>
          </w:tcPr>
          <w:p>
            <w:r>
              <w:rPr>
                <w:sz w:val="19"/>
                <w:szCs w:val="19"/>
              </w:rPr>
              <w:t xml:space="preserve">Radicaciones completas, trazabilidad sin reprocesos, uso correcto del procedimiento de sincronización.</w:t>
            </w:r>
          </w:p>
        </w:tc>
      </w:tr>
      <w:tr>
        <w:tc>
          <w:tcPr>
            <w:tcW w:type="dxa" w:w="3200"/>
            <w:tcMar>
              <w:top w:type="dxa" w:w="80"/>
              <w:left w:type="dxa" w:w="100"/>
              <w:bottom w:type="dxa" w:w="80"/>
              <w:right w:type="dxa" w:w="100"/>
            </w:tcMar>
            <w:vAlign w:val="center"/>
          </w:tcPr>
          <w:p>
            <w:r>
              <w:rPr>
                <w:sz w:val="19"/>
                <w:szCs w:val="19"/>
              </w:rPr>
              <w:t xml:space="preserve">Jurídica (DERPE, Tutelas, Litigio Estratégico)</w:t>
            </w:r>
          </w:p>
        </w:tc>
        <w:tc>
          <w:tcPr>
            <w:tcW w:type="dxa" w:w="5760"/>
            <w:tcMar>
              <w:top w:type="dxa" w:w="80"/>
              <w:left w:type="dxa" w:w="100"/>
              <w:bottom w:type="dxa" w:w="80"/>
              <w:right w:type="dxa" w:w="100"/>
            </w:tcMar>
            <w:vAlign w:val="center"/>
          </w:tcPr>
          <w:p>
            <w:r>
              <w:rPr>
                <w:sz w:val="19"/>
                <w:szCs w:val="19"/>
              </w:rPr>
              <w:t xml:space="preserve">Respuestas en término sustentadas; definición y ejecución de estrategia en casos priorizados.</w:t>
            </w:r>
          </w:p>
        </w:tc>
      </w:tr>
      <w:tr>
        <w:tc>
          <w:tcPr>
            <w:tcW w:type="dxa" w:w="3200"/>
            <w:tcMar>
              <w:top w:type="dxa" w:w="80"/>
              <w:left w:type="dxa" w:w="100"/>
              <w:bottom w:type="dxa" w:w="80"/>
              <w:right w:type="dxa" w:w="100"/>
            </w:tcMar>
            <w:vAlign w:val="center"/>
          </w:tcPr>
          <w:p>
            <w:r>
              <w:rPr>
                <w:sz w:val="19"/>
                <w:szCs w:val="19"/>
              </w:rPr>
              <w:t xml:space="preserve">Archivo</w:t>
            </w:r>
          </w:p>
        </w:tc>
        <w:tc>
          <w:tcPr>
            <w:tcW w:type="dxa" w:w="5760"/>
            <w:tcMar>
              <w:top w:type="dxa" w:w="80"/>
              <w:left w:type="dxa" w:w="100"/>
              <w:bottom w:type="dxa" w:w="80"/>
              <w:right w:type="dxa" w:w="100"/>
            </w:tcMar>
            <w:vAlign w:val="center"/>
          </w:tcPr>
          <w:p>
            <w:r>
              <w:rPr>
                <w:sz w:val="19"/>
                <w:szCs w:val="19"/>
              </w:rPr>
              <w:t xml:space="preserve">Carpetas y metadatos AGN correctos; series, subseries y retención aplicadas.</w:t>
            </w:r>
          </w:p>
        </w:tc>
      </w:tr>
      <w:tr>
        <w:tc>
          <w:tcPr>
            <w:tcW w:type="dxa" w:w="3200"/>
            <w:tcMar>
              <w:top w:type="dxa" w:w="80"/>
              <w:left w:type="dxa" w:w="100"/>
              <w:bottom w:type="dxa" w:w="80"/>
              <w:right w:type="dxa" w:w="100"/>
            </w:tcMar>
            <w:vAlign w:val="center"/>
          </w:tcPr>
          <w:p>
            <w:r>
              <w:rPr>
                <w:sz w:val="19"/>
                <w:szCs w:val="19"/>
              </w:rPr>
              <w:t xml:space="preserve">Directiva</w:t>
            </w:r>
          </w:p>
        </w:tc>
        <w:tc>
          <w:tcPr>
            <w:tcW w:type="dxa" w:w="5760"/>
            <w:tcMar>
              <w:top w:type="dxa" w:w="80"/>
              <w:left w:type="dxa" w:w="100"/>
              <w:bottom w:type="dxa" w:w="80"/>
              <w:right w:type="dxa" w:w="100"/>
            </w:tcMar>
            <w:vAlign w:val="center"/>
          </w:tcPr>
          <w:p>
            <w:r>
              <w:rPr>
                <w:sz w:val="19"/>
                <w:szCs w:val="19"/>
              </w:rPr>
              <w:t xml:space="preserve">Uso del tablero para decisiones, con acta de acuerdos y responsables.</w:t>
            </w:r>
          </w:p>
        </w:tc>
      </w:tr>
    </w:tbl>
    <w:p>
      <w:pPr>
        <w:pStyle w:val="Heading2"/>
        <w:spacing w:after="110" w:before="260"/>
      </w:pPr>
      <w:r>
        <w:rPr>
          <w:b/>
          <w:bCs/>
          <w:color w:val="1F3864"/>
          <w:sz w:val="24"/>
          <w:szCs w:val="24"/>
        </w:rPr>
        <w:t xml:space="preserve">5.6 Indicadores de aprendizaje (KPIs)</w:t>
      </w:r>
    </w:p>
    <w:p>
      <w:pPr>
        <w:pStyle w:val="ListParagraph"/>
        <w:numPr>
          <w:ilvl w:val="0"/>
          <w:numId w:val="2"/>
        </w:numPr>
        <w:spacing w:after="80" w:line="276"/>
      </w:pPr>
      <w:r>
        <w:rPr>
          <w:sz w:val="21"/>
          <w:szCs w:val="21"/>
        </w:rPr>
        <w:t xml:space="preserve">Cobertura formativa: % de servidores por rol con al menos un módulo completado.</w:t>
      </w:r>
    </w:p>
    <w:p>
      <w:pPr>
        <w:pStyle w:val="ListParagraph"/>
        <w:numPr>
          <w:ilvl w:val="0"/>
          <w:numId w:val="2"/>
        </w:numPr>
        <w:spacing w:after="80" w:line="276"/>
      </w:pPr>
      <w:r>
        <w:rPr>
          <w:sz w:val="21"/>
          <w:szCs w:val="21"/>
        </w:rPr>
        <w:t xml:space="preserve">Habilidad demostrada: % de casos aprobados por rúbrica.</w:t>
      </w:r>
    </w:p>
    <w:p>
      <w:pPr>
        <w:pStyle w:val="ListParagraph"/>
        <w:numPr>
          <w:ilvl w:val="0"/>
          <w:numId w:val="2"/>
        </w:numPr>
        <w:spacing w:after="80" w:line="276"/>
      </w:pPr>
      <w:r>
        <w:rPr>
          <w:sz w:val="21"/>
          <w:szCs w:val="21"/>
        </w:rPr>
        <w:t xml:space="preserve">Traslado a operación: % de procesos gestionados en eKOGUI por equipos ya formados.</w:t>
      </w:r>
    </w:p>
    <w:p>
      <w:pPr>
        <w:pStyle w:val="ListParagraph"/>
        <w:numPr>
          <w:ilvl w:val="0"/>
          <w:numId w:val="2"/>
        </w:numPr>
        <w:spacing w:after="80" w:line="276"/>
      </w:pPr>
      <w:r>
        <w:rPr>
          <w:sz w:val="21"/>
          <w:szCs w:val="21"/>
        </w:rPr>
        <w:t xml:space="preserve">Calidad sostenida: reducción de reprocesos y cumplimiento de términos en áreas certificadas.</w:t>
      </w:r>
    </w:p>
    <w:p>
      <w:pPr>
        <w:pStyle w:val="Heading2"/>
        <w:spacing w:after="110" w:before="260"/>
      </w:pPr>
      <w:r>
        <w:rPr>
          <w:b/>
          <w:bCs/>
          <w:color w:val="1F3864"/>
          <w:sz w:val="24"/>
          <w:szCs w:val="24"/>
        </w:rPr>
        <w:t xml:space="preserve">5.7 Riesgos y mitigaciones</w:t>
      </w:r>
    </w:p>
    <w:p>
      <w:pPr>
        <w:pStyle w:val="ListParagraph"/>
        <w:numPr>
          <w:ilvl w:val="0"/>
          <w:numId w:val="2"/>
        </w:numPr>
        <w:spacing w:after="80" w:line="276"/>
      </w:pPr>
      <w:r>
        <w:rPr>
          <w:sz w:val="21"/>
          <w:szCs w:val="21"/>
        </w:rPr>
        <w:t xml:space="preserve">Conectividad intermitente: priorizar cápsulas HTML y simulaciones offline, con sincronización diferida por lotes.</w:t>
      </w:r>
    </w:p>
    <w:p>
      <w:pPr>
        <w:pStyle w:val="ListParagraph"/>
        <w:numPr>
          <w:ilvl w:val="0"/>
          <w:numId w:val="2"/>
        </w:numPr>
        <w:spacing w:after="80" w:line="276"/>
      </w:pPr>
      <w:r>
        <w:rPr>
          <w:sz w:val="21"/>
          <w:szCs w:val="21"/>
        </w:rPr>
        <w:t xml:space="preserve">Rotación de personal: inducción express de 2 horas + microlearning obligatorio + procedimientos estandarizados por tarea crítica.</w:t>
      </w:r>
    </w:p>
    <w:p>
      <w:pPr>
        <w:pStyle w:val="ListParagraph"/>
        <w:numPr>
          <w:ilvl w:val="0"/>
          <w:numId w:val="2"/>
        </w:numPr>
        <w:spacing w:after="80" w:line="276"/>
      </w:pPr>
      <w:r>
        <w:rPr>
          <w:sz w:val="21"/>
          <w:szCs w:val="21"/>
        </w:rPr>
        <w:t xml:space="preserve">Sobrecarga operativa: talleres cortos (≤2 horas) planificados en semanas de menor demanda.</w:t>
      </w:r>
    </w:p>
    <w:p>
      <w:r>
        <w:br w:type="page"/>
      </w:r>
    </w:p>
    <w:p>
      <w:pPr>
        <w:pStyle w:val="Heading1"/>
        <w:spacing w:after="160" w:before="360"/>
      </w:pPr>
      <w:r>
        <w:rPr>
          <w:b/>
          <w:bCs/>
          <w:color w:val="1F3864"/>
          <w:sz w:val="30"/>
          <w:szCs w:val="30"/>
        </w:rPr>
        <w:t xml:space="preserve">6. Certificación progresiva</w:t>
      </w:r>
    </w:p>
    <w:p>
      <w:pPr>
        <w:spacing w:after="160" w:line="276"/>
      </w:pPr>
      <w:r>
        <w:rPr>
          <w:sz w:val="21"/>
          <w:szCs w:val="21"/>
        </w:rPr>
        <w:t xml:space="preserve">El sistema reconoce el dominio progresivo de competencias mediante tres niveles: Bronce, Plata y Oro. La certificación se basa en evidencias verificables (capturas, sellos de tiempo, checklists) y no solo en cuestionarios, priorizando el desempeño real sobre el volumen de módulos vistos.</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400"/>
        <w:gridCol w:w="5560"/>
        <w:gridCol w:w="2000"/>
      </w:tblGrid>
      <w:tr>
        <w:trPr>
          <w:tblHeader/>
        </w:trPr>
        <w:tc>
          <w:tcPr>
            <w:tcW w:type="dxa" w:w="1400"/>
            <w:shd w:fill="1F3864" w:val="clear"/>
            <w:tcMar>
              <w:top w:type="dxa" w:w="80"/>
              <w:left w:type="dxa" w:w="100"/>
              <w:bottom w:type="dxa" w:w="80"/>
              <w:right w:type="dxa" w:w="100"/>
            </w:tcMar>
            <w:vAlign w:val="center"/>
          </w:tcPr>
          <w:p>
            <w:r>
              <w:rPr>
                <w:b/>
                <w:bCs/>
                <w:color w:val="FFFFFF"/>
                <w:sz w:val="19"/>
                <w:szCs w:val="19"/>
              </w:rPr>
              <w:t xml:space="preserve">Nivel</w:t>
            </w:r>
          </w:p>
        </w:tc>
        <w:tc>
          <w:tcPr>
            <w:tcW w:type="dxa" w:w="5560"/>
            <w:shd w:fill="1F3864" w:val="clear"/>
            <w:tcMar>
              <w:top w:type="dxa" w:w="80"/>
              <w:left w:type="dxa" w:w="100"/>
              <w:bottom w:type="dxa" w:w="80"/>
              <w:right w:type="dxa" w:w="100"/>
            </w:tcMar>
            <w:vAlign w:val="center"/>
          </w:tcPr>
          <w:p>
            <w:r>
              <w:rPr>
                <w:b/>
                <w:bCs/>
                <w:color w:val="FFFFFF"/>
                <w:sz w:val="19"/>
                <w:szCs w:val="19"/>
              </w:rPr>
              <w:t xml:space="preserve">Requisito mínimo</w:t>
            </w:r>
          </w:p>
        </w:tc>
        <w:tc>
          <w:tcPr>
            <w:tcW w:type="dxa" w:w="2000"/>
            <w:shd w:fill="1F3864" w:val="clear"/>
            <w:tcMar>
              <w:top w:type="dxa" w:w="80"/>
              <w:left w:type="dxa" w:w="100"/>
              <w:bottom w:type="dxa" w:w="80"/>
              <w:right w:type="dxa" w:w="100"/>
            </w:tcMar>
            <w:vAlign w:val="center"/>
          </w:tcPr>
          <w:p>
            <w:r>
              <w:rPr>
                <w:b/>
                <w:bCs/>
                <w:color w:val="FFFFFF"/>
                <w:sz w:val="19"/>
                <w:szCs w:val="19"/>
              </w:rPr>
              <w:t xml:space="preserve">Beneficio</w:t>
            </w:r>
          </w:p>
        </w:tc>
      </w:tr>
      <w:tr>
        <w:tc>
          <w:tcPr>
            <w:tcW w:type="dxa" w:w="1400"/>
            <w:tcMar>
              <w:top w:type="dxa" w:w="80"/>
              <w:left w:type="dxa" w:w="100"/>
              <w:bottom w:type="dxa" w:w="80"/>
              <w:right w:type="dxa" w:w="100"/>
            </w:tcMar>
            <w:vAlign w:val="center"/>
          </w:tcPr>
          <w:p>
            <w:r>
              <w:rPr>
                <w:sz w:val="19"/>
                <w:szCs w:val="19"/>
              </w:rPr>
              <w:t xml:space="preserve">Bronce</w:t>
            </w:r>
          </w:p>
        </w:tc>
        <w:tc>
          <w:tcPr>
            <w:tcW w:type="dxa" w:w="5560"/>
            <w:tcMar>
              <w:top w:type="dxa" w:w="80"/>
              <w:left w:type="dxa" w:w="100"/>
              <w:bottom w:type="dxa" w:w="80"/>
              <w:right w:type="dxa" w:w="100"/>
            </w:tcMar>
            <w:vAlign w:val="center"/>
          </w:tcPr>
          <w:p>
            <w:r>
              <w:rPr>
                <w:sz w:val="19"/>
                <w:szCs w:val="19"/>
              </w:rPr>
              <w:t xml:space="preserve">Módulos básicos del rol aprobados (≥80%); un caso práctico aprobado; checklist de calidad de datos correcto.</w:t>
            </w:r>
          </w:p>
        </w:tc>
        <w:tc>
          <w:tcPr>
            <w:tcW w:type="dxa" w:w="2000"/>
            <w:tcMar>
              <w:top w:type="dxa" w:w="80"/>
              <w:left w:type="dxa" w:w="100"/>
              <w:bottom w:type="dxa" w:w="80"/>
              <w:right w:type="dxa" w:w="100"/>
            </w:tcMar>
            <w:vAlign w:val="center"/>
          </w:tcPr>
          <w:p>
            <w:r>
              <w:rPr>
                <w:sz w:val="19"/>
                <w:szCs w:val="19"/>
              </w:rPr>
              <w:t xml:space="preserve">Acceso a tutorías.</w:t>
            </w:r>
          </w:p>
        </w:tc>
      </w:tr>
      <w:tr>
        <w:tc>
          <w:tcPr>
            <w:tcW w:type="dxa" w:w="1400"/>
            <w:tcMar>
              <w:top w:type="dxa" w:w="80"/>
              <w:left w:type="dxa" w:w="100"/>
              <w:bottom w:type="dxa" w:w="80"/>
              <w:right w:type="dxa" w:w="100"/>
            </w:tcMar>
            <w:vAlign w:val="center"/>
          </w:tcPr>
          <w:p>
            <w:r>
              <w:rPr>
                <w:sz w:val="19"/>
                <w:szCs w:val="19"/>
              </w:rPr>
              <w:t xml:space="preserve">Plata</w:t>
            </w:r>
          </w:p>
        </w:tc>
        <w:tc>
          <w:tcPr>
            <w:tcW w:type="dxa" w:w="5560"/>
            <w:tcMar>
              <w:top w:type="dxa" w:w="80"/>
              <w:left w:type="dxa" w:w="100"/>
              <w:bottom w:type="dxa" w:w="80"/>
              <w:right w:type="dxa" w:w="100"/>
            </w:tcMar>
            <w:vAlign w:val="center"/>
          </w:tcPr>
          <w:p>
            <w:r>
              <w:rPr>
                <w:sz w:val="19"/>
                <w:szCs w:val="19"/>
              </w:rPr>
              <w:t xml:space="preserve">Todos los módulos del rol aprobados; dos casos aprobados; una tutoría documentada.</w:t>
            </w:r>
          </w:p>
        </w:tc>
        <w:tc>
          <w:tcPr>
            <w:tcW w:type="dxa" w:w="2000"/>
            <w:tcMar>
              <w:top w:type="dxa" w:w="80"/>
              <w:left w:type="dxa" w:w="100"/>
              <w:bottom w:type="dxa" w:w="80"/>
              <w:right w:type="dxa" w:w="100"/>
            </w:tcMar>
            <w:vAlign w:val="center"/>
          </w:tcPr>
          <w:p>
            <w:r>
              <w:rPr>
                <w:sz w:val="19"/>
                <w:szCs w:val="19"/>
              </w:rPr>
              <w:t xml:space="preserve">Elegible a mentorías y reconocimientos.</w:t>
            </w:r>
          </w:p>
        </w:tc>
      </w:tr>
      <w:tr>
        <w:tc>
          <w:tcPr>
            <w:tcW w:type="dxa" w:w="1400"/>
            <w:tcMar>
              <w:top w:type="dxa" w:w="80"/>
              <w:left w:type="dxa" w:w="100"/>
              <w:bottom w:type="dxa" w:w="80"/>
              <w:right w:type="dxa" w:w="100"/>
            </w:tcMar>
            <w:vAlign w:val="center"/>
          </w:tcPr>
          <w:p>
            <w:r>
              <w:rPr>
                <w:sz w:val="19"/>
                <w:szCs w:val="19"/>
              </w:rPr>
              <w:t xml:space="preserve">Oro</w:t>
            </w:r>
          </w:p>
        </w:tc>
        <w:tc>
          <w:tcPr>
            <w:tcW w:type="dxa" w:w="5560"/>
            <w:tcMar>
              <w:top w:type="dxa" w:w="80"/>
              <w:left w:type="dxa" w:w="100"/>
              <w:bottom w:type="dxa" w:w="80"/>
              <w:right w:type="dxa" w:w="100"/>
            </w:tcMar>
            <w:vAlign w:val="center"/>
          </w:tcPr>
          <w:p>
            <w:r>
              <w:rPr>
                <w:sz w:val="19"/>
                <w:szCs w:val="19"/>
              </w:rPr>
              <w:t xml:space="preserve">Resultados sostenidos en varios cortes; mentoría entre territorios; indicadores del equipo en verde.</w:t>
            </w:r>
          </w:p>
        </w:tc>
        <w:tc>
          <w:tcPr>
            <w:tcW w:type="dxa" w:w="2000"/>
            <w:tcMar>
              <w:top w:type="dxa" w:w="80"/>
              <w:left w:type="dxa" w:w="100"/>
              <w:bottom w:type="dxa" w:w="80"/>
              <w:right w:type="dxa" w:w="100"/>
            </w:tcMar>
            <w:vAlign w:val="center"/>
          </w:tcPr>
          <w:p>
            <w:r>
              <w:rPr>
                <w:sz w:val="19"/>
                <w:szCs w:val="19"/>
              </w:rPr>
              <w:t xml:space="preserve">Reconocimiento público y rol de mentor.</w:t>
            </w:r>
          </w:p>
        </w:tc>
      </w:tr>
    </w:tbl>
    <w:p>
      <w:pPr>
        <w:spacing w:after="160" w:line="276"/>
      </w:pPr>
      <w:r>
        <w:rPr>
          <w:sz w:val="21"/>
          <w:szCs w:val="21"/>
        </w:rPr>
        <w:t xml:space="preserve">Este sistema es especialmente útil frente a la alta rotación de responsables: permite dejar constancia formal de hasta dónde llegó la persona saliente, y verificar en pocos días si quien entra ya domina lo mínimo del cargo.</w:t>
      </w:r>
    </w:p>
    <w:p>
      <w:pPr>
        <w:pStyle w:val="Heading1"/>
        <w:spacing w:after="160" w:before="360"/>
      </w:pPr>
      <w:r>
        <w:rPr>
          <w:b/>
          <w:bCs/>
          <w:color w:val="1F3864"/>
          <w:sz w:val="30"/>
          <w:szCs w:val="30"/>
        </w:rPr>
        <w:t xml:space="preserve">7. Taller de arranque / validación territorial (2 días)</w:t>
      </w:r>
    </w:p>
    <w:p>
      <w:pPr>
        <w:spacing w:after="160" w:line="276"/>
      </w:pPr>
      <w:r>
        <w:rPr>
          <w:sz w:val="21"/>
          <w:szCs w:val="21"/>
        </w:rPr>
        <w:t xml:space="preserve">Es el evento presencial donde la entidad prueba y consolida en terreno lo definido en el programa: procedimientos, roles, indicadores y evidencias. No es un evento de sensibilización, sino un espacio de trabajo práctico para cerrar brechas y dejar acuerdos firmados.</w:t>
      </w:r>
    </w:p>
    <w:p>
      <w:pPr>
        <w:pStyle w:val="ListParagraph"/>
        <w:numPr>
          <w:ilvl w:val="0"/>
          <w:numId w:val="2"/>
        </w:numPr>
        <w:spacing w:after="80" w:line="276"/>
      </w:pPr>
      <w:r>
        <w:rPr>
          <w:sz w:val="21"/>
          <w:szCs w:val="21"/>
        </w:rPr>
        <w:t xml:space="preserve">Validar que los procedimientos operativos (sincronización, doble validación, archivo) funcionen en condiciones reales.</w:t>
      </w:r>
    </w:p>
    <w:p>
      <w:pPr>
        <w:pStyle w:val="ListParagraph"/>
        <w:numPr>
          <w:ilvl w:val="0"/>
          <w:numId w:val="2"/>
        </w:numPr>
        <w:spacing w:after="80" w:line="276"/>
      </w:pPr>
      <w:r>
        <w:rPr>
          <w:sz w:val="21"/>
          <w:szCs w:val="21"/>
        </w:rPr>
        <w:t xml:space="preserve">Dejar expedientes modelo correctos, con metadatos y sello de tiempo.</w:t>
      </w:r>
    </w:p>
    <w:p>
      <w:pPr>
        <w:pStyle w:val="ListParagraph"/>
        <w:numPr>
          <w:ilvl w:val="0"/>
          <w:numId w:val="2"/>
        </w:numPr>
        <w:spacing w:after="80" w:line="276"/>
      </w:pPr>
      <w:r>
        <w:rPr>
          <w:sz w:val="21"/>
          <w:szCs w:val="21"/>
        </w:rPr>
        <w:t xml:space="preserve">Acordar pareamientos mentor–mentee y un plan de 30 días con metas por indicador.</w:t>
      </w:r>
    </w:p>
    <w:p>
      <w:pPr>
        <w:pStyle w:val="ListParagraph"/>
        <w:numPr>
          <w:ilvl w:val="0"/>
          <w:numId w:val="2"/>
        </w:numPr>
        <w:spacing w:after="80" w:line="276"/>
      </w:pPr>
      <w:r>
        <w:rPr>
          <w:sz w:val="21"/>
          <w:szCs w:val="21"/>
        </w:rPr>
        <w:t xml:space="preserve">Consolidar la gobernanza local con decisiones y cronograma.</w:t>
      </w:r>
    </w:p>
    <w:p>
      <w:pPr>
        <w:spacing w:after="160" w:line="276"/>
      </w:pPr>
      <w:r>
        <w:rPr>
          <w:sz w:val="21"/>
          <w:szCs w:val="21"/>
        </w:rPr>
        <w:t xml:space="preserve">Este taller es reutilizable: sirve tanto para el arranque inicial del programa en una entidad como para su relanzamiento cuando cambia el responsable territorial.</w:t>
      </w:r>
    </w:p>
    <w:p>
      <w:pPr>
        <w:pStyle w:val="Heading1"/>
        <w:spacing w:after="160" w:before="360"/>
      </w:pPr>
      <w:r>
        <w:rPr>
          <w:b/>
          <w:bCs/>
          <w:color w:val="1F3864"/>
          <w:sz w:val="30"/>
          <w:szCs w:val="30"/>
        </w:rPr>
        <w:t xml:space="preserve">8. Caja de herramientas de referencia</w:t>
      </w:r>
    </w:p>
    <w:p>
      <w:pPr>
        <w:spacing w:after="160" w:line="276"/>
      </w:pPr>
      <w:r>
        <w:rPr>
          <w:sz w:val="21"/>
          <w:szCs w:val="21"/>
        </w:rPr>
        <w:t xml:space="preserve">Los siguientes instrumentos operacionalizan cada sección de este documento y forman el kit de onboarding pedagógico:</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400"/>
        <w:gridCol w:w="5560"/>
      </w:tblGrid>
      <w:tr>
        <w:trPr>
          <w:tblHeader/>
        </w:trPr>
        <w:tc>
          <w:tcPr>
            <w:tcW w:type="dxa" w:w="3400"/>
            <w:shd w:fill="1F3864" w:val="clear"/>
            <w:tcMar>
              <w:top w:type="dxa" w:w="80"/>
              <w:left w:type="dxa" w:w="100"/>
              <w:bottom w:type="dxa" w:w="80"/>
              <w:right w:type="dxa" w:w="100"/>
            </w:tcMar>
            <w:vAlign w:val="center"/>
          </w:tcPr>
          <w:p>
            <w:r>
              <w:rPr>
                <w:b/>
                <w:bCs/>
                <w:color w:val="FFFFFF"/>
                <w:sz w:val="19"/>
                <w:szCs w:val="19"/>
              </w:rPr>
              <w:t xml:space="preserve">Instrumento</w:t>
            </w:r>
          </w:p>
        </w:tc>
        <w:tc>
          <w:tcPr>
            <w:tcW w:type="dxa" w:w="5560"/>
            <w:shd w:fill="1F3864" w:val="clear"/>
            <w:tcMar>
              <w:top w:type="dxa" w:w="80"/>
              <w:left w:type="dxa" w:w="100"/>
              <w:bottom w:type="dxa" w:w="80"/>
              <w:right w:type="dxa" w:w="100"/>
            </w:tcMar>
            <w:vAlign w:val="center"/>
          </w:tcPr>
          <w:p>
            <w:r>
              <w:rPr>
                <w:b/>
                <w:bCs/>
                <w:color w:val="FFFFFF"/>
                <w:sz w:val="19"/>
                <w:szCs w:val="19"/>
              </w:rPr>
              <w:t xml:space="preserve">Función</w:t>
            </w:r>
          </w:p>
        </w:tc>
      </w:tr>
      <w:tr>
        <w:tc>
          <w:tcPr>
            <w:tcW w:type="dxa" w:w="3400"/>
            <w:tcMar>
              <w:top w:type="dxa" w:w="80"/>
              <w:left w:type="dxa" w:w="100"/>
              <w:bottom w:type="dxa" w:w="80"/>
              <w:right w:type="dxa" w:w="100"/>
            </w:tcMar>
            <w:vAlign w:val="center"/>
          </w:tcPr>
          <w:p>
            <w:r>
              <w:rPr>
                <w:sz w:val="19"/>
                <w:szCs w:val="19"/>
              </w:rPr>
              <w:t xml:space="preserve">Protocolo de replicabilidad</w:t>
            </w:r>
          </w:p>
        </w:tc>
        <w:tc>
          <w:tcPr>
            <w:tcW w:type="dxa" w:w="5560"/>
            <w:tcMar>
              <w:top w:type="dxa" w:w="80"/>
              <w:left w:type="dxa" w:w="100"/>
              <w:bottom w:type="dxa" w:w="80"/>
              <w:right w:type="dxa" w:w="100"/>
            </w:tcMar>
            <w:vAlign w:val="center"/>
          </w:tcPr>
          <w:p>
            <w:r>
              <w:rPr>
                <w:sz w:val="19"/>
                <w:szCs w:val="19"/>
              </w:rPr>
              <w:t xml:space="preserve">Guía para arrancar el programa en una entidad o territorio nuevo.</w:t>
            </w:r>
          </w:p>
        </w:tc>
      </w:tr>
      <w:tr>
        <w:tc>
          <w:tcPr>
            <w:tcW w:type="dxa" w:w="3400"/>
            <w:tcMar>
              <w:top w:type="dxa" w:w="80"/>
              <w:left w:type="dxa" w:w="100"/>
              <w:bottom w:type="dxa" w:w="80"/>
              <w:right w:type="dxa" w:w="100"/>
            </w:tcMar>
            <w:vAlign w:val="center"/>
          </w:tcPr>
          <w:p>
            <w:r>
              <w:rPr>
                <w:sz w:val="19"/>
                <w:szCs w:val="19"/>
              </w:rPr>
              <w:t xml:space="preserve">Matriz RACI del programa</w:t>
            </w:r>
          </w:p>
        </w:tc>
        <w:tc>
          <w:tcPr>
            <w:tcW w:type="dxa" w:w="5560"/>
            <w:tcMar>
              <w:top w:type="dxa" w:w="80"/>
              <w:left w:type="dxa" w:w="100"/>
              <w:bottom w:type="dxa" w:w="80"/>
              <w:right w:type="dxa" w:w="100"/>
            </w:tcMar>
            <w:vAlign w:val="center"/>
          </w:tcPr>
          <w:p>
            <w:r>
              <w:rPr>
                <w:sz w:val="19"/>
                <w:szCs w:val="19"/>
              </w:rPr>
              <w:t xml:space="preserve">Aclara quién decide, ejecuta, consulta e informa en cada entregable.</w:t>
            </w:r>
          </w:p>
        </w:tc>
      </w:tr>
      <w:tr>
        <w:tc>
          <w:tcPr>
            <w:tcW w:type="dxa" w:w="3400"/>
            <w:tcMar>
              <w:top w:type="dxa" w:w="80"/>
              <w:left w:type="dxa" w:w="100"/>
              <w:bottom w:type="dxa" w:w="80"/>
              <w:right w:type="dxa" w:w="100"/>
            </w:tcMar>
            <w:vAlign w:val="center"/>
          </w:tcPr>
          <w:p>
            <w:r>
              <w:rPr>
                <w:sz w:val="19"/>
                <w:szCs w:val="19"/>
              </w:rPr>
              <w:t xml:space="preserve">Mapa de segmentación (Ola y Clúster)</w:t>
            </w:r>
          </w:p>
        </w:tc>
        <w:tc>
          <w:tcPr>
            <w:tcW w:type="dxa" w:w="5560"/>
            <w:tcMar>
              <w:top w:type="dxa" w:w="80"/>
              <w:left w:type="dxa" w:w="100"/>
              <w:bottom w:type="dxa" w:w="80"/>
              <w:right w:type="dxa" w:w="100"/>
            </w:tcMar>
            <w:vAlign w:val="center"/>
          </w:tcPr>
          <w:p>
            <w:r>
              <w:rPr>
                <w:sz w:val="19"/>
                <w:szCs w:val="19"/>
              </w:rPr>
              <w:t xml:space="preserve">Ubica a la entidad en el mapa de madurez y desempeño.</w:t>
            </w:r>
          </w:p>
        </w:tc>
      </w:tr>
      <w:tr>
        <w:tc>
          <w:tcPr>
            <w:tcW w:type="dxa" w:w="3400"/>
            <w:tcMar>
              <w:top w:type="dxa" w:w="80"/>
              <w:left w:type="dxa" w:w="100"/>
              <w:bottom w:type="dxa" w:w="80"/>
              <w:right w:type="dxa" w:w="100"/>
            </w:tcMar>
            <w:vAlign w:val="center"/>
          </w:tcPr>
          <w:p>
            <w:r>
              <w:rPr>
                <w:sz w:val="19"/>
                <w:szCs w:val="19"/>
              </w:rPr>
              <w:t xml:space="preserve">Protocolo de mentoría entre pares</w:t>
            </w:r>
          </w:p>
        </w:tc>
        <w:tc>
          <w:tcPr>
            <w:tcW w:type="dxa" w:w="5560"/>
            <w:tcMar>
              <w:top w:type="dxa" w:w="80"/>
              <w:left w:type="dxa" w:w="100"/>
              <w:bottom w:type="dxa" w:w="80"/>
              <w:right w:type="dxa" w:w="100"/>
            </w:tcMar>
            <w:vAlign w:val="center"/>
          </w:tcPr>
          <w:p>
            <w:r>
              <w:rPr>
                <w:sz w:val="19"/>
                <w:szCs w:val="19"/>
              </w:rPr>
              <w:t xml:space="preserve">Define el mecanismo de acompañamiento mentor–mentee.</w:t>
            </w:r>
          </w:p>
        </w:tc>
      </w:tr>
      <w:tr>
        <w:tc>
          <w:tcPr>
            <w:tcW w:type="dxa" w:w="3400"/>
            <w:tcMar>
              <w:top w:type="dxa" w:w="80"/>
              <w:left w:type="dxa" w:w="100"/>
              <w:bottom w:type="dxa" w:w="80"/>
              <w:right w:type="dxa" w:w="100"/>
            </w:tcMar>
            <w:vAlign w:val="center"/>
          </w:tcPr>
          <w:p>
            <w:r>
              <w:rPr>
                <w:sz w:val="19"/>
                <w:szCs w:val="19"/>
              </w:rPr>
              <w:t xml:space="preserve">Malla curricular por rol</w:t>
            </w:r>
          </w:p>
        </w:tc>
        <w:tc>
          <w:tcPr>
            <w:tcW w:type="dxa" w:w="5560"/>
            <w:tcMar>
              <w:top w:type="dxa" w:w="80"/>
              <w:left w:type="dxa" w:w="100"/>
              <w:bottom w:type="dxa" w:w="80"/>
              <w:right w:type="dxa" w:w="100"/>
            </w:tcMar>
            <w:vAlign w:val="center"/>
          </w:tcPr>
          <w:p>
            <w:r>
              <w:rPr>
                <w:sz w:val="19"/>
                <w:szCs w:val="19"/>
              </w:rPr>
              <w:t xml:space="preserve">Ruta de formación obligatoria y opcional según el perfil.</w:t>
            </w:r>
          </w:p>
        </w:tc>
      </w:tr>
      <w:tr>
        <w:tc>
          <w:tcPr>
            <w:tcW w:type="dxa" w:w="3400"/>
            <w:tcMar>
              <w:top w:type="dxa" w:w="80"/>
              <w:left w:type="dxa" w:w="100"/>
              <w:bottom w:type="dxa" w:w="80"/>
              <w:right w:type="dxa" w:w="100"/>
            </w:tcMar>
            <w:vAlign w:val="center"/>
          </w:tcPr>
          <w:p>
            <w:r>
              <w:rPr>
                <w:sz w:val="19"/>
                <w:szCs w:val="19"/>
              </w:rPr>
              <w:t xml:space="preserve">Cápsulas de microlearning</w:t>
            </w:r>
          </w:p>
        </w:tc>
        <w:tc>
          <w:tcPr>
            <w:tcW w:type="dxa" w:w="5560"/>
            <w:tcMar>
              <w:top w:type="dxa" w:w="80"/>
              <w:left w:type="dxa" w:w="100"/>
              <w:bottom w:type="dxa" w:w="80"/>
              <w:right w:type="dxa" w:w="100"/>
            </w:tcMar>
            <w:vAlign w:val="center"/>
          </w:tcPr>
          <w:p>
            <w:r>
              <w:rPr>
                <w:sz w:val="19"/>
                <w:szCs w:val="19"/>
              </w:rPr>
              <w:t xml:space="preserve">Contenido de formación breve, en formato liviano.</w:t>
            </w:r>
          </w:p>
        </w:tc>
      </w:tr>
      <w:tr>
        <w:tc>
          <w:tcPr>
            <w:tcW w:type="dxa" w:w="3400"/>
            <w:tcMar>
              <w:top w:type="dxa" w:w="80"/>
              <w:left w:type="dxa" w:w="100"/>
              <w:bottom w:type="dxa" w:w="80"/>
              <w:right w:type="dxa" w:w="100"/>
            </w:tcMar>
            <w:vAlign w:val="center"/>
          </w:tcPr>
          <w:p>
            <w:r>
              <w:rPr>
                <w:sz w:val="19"/>
                <w:szCs w:val="19"/>
              </w:rPr>
              <w:t xml:space="preserve">Banco de casos territoriales</w:t>
            </w:r>
          </w:p>
        </w:tc>
        <w:tc>
          <w:tcPr>
            <w:tcW w:type="dxa" w:w="5560"/>
            <w:tcMar>
              <w:top w:type="dxa" w:w="80"/>
              <w:left w:type="dxa" w:w="100"/>
              <w:bottom w:type="dxa" w:w="80"/>
              <w:right w:type="dxa" w:w="100"/>
            </w:tcMar>
            <w:vAlign w:val="center"/>
          </w:tcPr>
          <w:p>
            <w:r>
              <w:rPr>
                <w:sz w:val="19"/>
                <w:szCs w:val="19"/>
              </w:rPr>
              <w:t xml:space="preserve">Casos simulados para práctica progresiva.</w:t>
            </w:r>
          </w:p>
        </w:tc>
      </w:tr>
      <w:tr>
        <w:tc>
          <w:tcPr>
            <w:tcW w:type="dxa" w:w="3400"/>
            <w:tcMar>
              <w:top w:type="dxa" w:w="80"/>
              <w:left w:type="dxa" w:w="100"/>
              <w:bottom w:type="dxa" w:w="80"/>
              <w:right w:type="dxa" w:w="100"/>
            </w:tcMar>
            <w:vAlign w:val="center"/>
          </w:tcPr>
          <w:p>
            <w:r>
              <w:rPr>
                <w:sz w:val="19"/>
                <w:szCs w:val="19"/>
              </w:rPr>
              <w:t xml:space="preserve">Certificación progresiva</w:t>
            </w:r>
          </w:p>
        </w:tc>
        <w:tc>
          <w:tcPr>
            <w:tcW w:type="dxa" w:w="5560"/>
            <w:tcMar>
              <w:top w:type="dxa" w:w="80"/>
              <w:left w:type="dxa" w:w="100"/>
              <w:bottom w:type="dxa" w:w="80"/>
              <w:right w:type="dxa" w:w="100"/>
            </w:tcMar>
            <w:vAlign w:val="center"/>
          </w:tcPr>
          <w:p>
            <w:r>
              <w:rPr>
                <w:sz w:val="19"/>
                <w:szCs w:val="19"/>
              </w:rPr>
              <w:t xml:space="preserve">Sistema de niveles Bronce/Plata/Oro con evidencia verificable.</w:t>
            </w:r>
          </w:p>
        </w:tc>
      </w:tr>
      <w:tr>
        <w:tc>
          <w:tcPr>
            <w:tcW w:type="dxa" w:w="3400"/>
            <w:tcMar>
              <w:top w:type="dxa" w:w="80"/>
              <w:left w:type="dxa" w:w="100"/>
              <w:bottom w:type="dxa" w:w="80"/>
              <w:right w:type="dxa" w:w="100"/>
            </w:tcMar>
            <w:vAlign w:val="center"/>
          </w:tcPr>
          <w:p>
            <w:r>
              <w:rPr>
                <w:sz w:val="19"/>
                <w:szCs w:val="19"/>
              </w:rPr>
              <w:t xml:space="preserve">FAQs por audiencia</w:t>
            </w:r>
          </w:p>
        </w:tc>
        <w:tc>
          <w:tcPr>
            <w:tcW w:type="dxa" w:w="5560"/>
            <w:tcMar>
              <w:top w:type="dxa" w:w="80"/>
              <w:left w:type="dxa" w:w="100"/>
              <w:bottom w:type="dxa" w:w="80"/>
              <w:right w:type="dxa" w:w="100"/>
            </w:tcMar>
            <w:vAlign w:val="center"/>
          </w:tcPr>
          <w:p>
            <w:r>
              <w:rPr>
                <w:sz w:val="19"/>
                <w:szCs w:val="19"/>
              </w:rPr>
              <w:t xml:space="preserve">Banco de preguntas frecuentes para resolver dudas sin escalar.</w:t>
            </w:r>
          </w:p>
        </w:tc>
      </w:tr>
      <w:tr>
        <w:tc>
          <w:tcPr>
            <w:tcW w:type="dxa" w:w="3400"/>
            <w:tcMar>
              <w:top w:type="dxa" w:w="80"/>
              <w:left w:type="dxa" w:w="100"/>
              <w:bottom w:type="dxa" w:w="80"/>
              <w:right w:type="dxa" w:w="100"/>
            </w:tcMar>
            <w:vAlign w:val="center"/>
          </w:tcPr>
          <w:p>
            <w:r>
              <w:rPr>
                <w:sz w:val="19"/>
                <w:szCs w:val="19"/>
              </w:rPr>
              <w:t xml:space="preserve">Agenda de taller de validación (2 días)</w:t>
            </w:r>
          </w:p>
        </w:tc>
        <w:tc>
          <w:tcPr>
            <w:tcW w:type="dxa" w:w="5560"/>
            <w:tcMar>
              <w:top w:type="dxa" w:w="80"/>
              <w:left w:type="dxa" w:w="100"/>
              <w:bottom w:type="dxa" w:w="80"/>
              <w:right w:type="dxa" w:w="100"/>
            </w:tcMar>
            <w:vAlign w:val="center"/>
          </w:tcPr>
          <w:p>
            <w:r>
              <w:rPr>
                <w:sz w:val="19"/>
                <w:szCs w:val="19"/>
              </w:rPr>
              <w:t xml:space="preserve">Plantilla del evento presencial de arranque o relanzamiento.</w:t>
            </w:r>
          </w:p>
        </w:tc>
      </w:tr>
    </w:tbl>
    <w:p>
      <w:pPr>
        <w:pStyle w:val="Heading1"/>
        <w:spacing w:after="160" w:before="360"/>
      </w:pPr>
      <w:r>
        <w:rPr>
          <w:b/>
          <w:bCs/>
          <w:color w:val="1F3864"/>
          <w:sz w:val="30"/>
          <w:szCs w:val="30"/>
        </w:rPr>
        <w:t xml:space="preserve">9. Recomendaciones para la implementación autogestionada</w:t>
      </w:r>
    </w:p>
    <w:p>
      <w:pPr>
        <w:spacing w:after="160" w:line="276"/>
      </w:pPr>
      <w:r>
        <w:rPr>
          <w:sz w:val="21"/>
          <w:szCs w:val="21"/>
        </w:rPr>
        <w:t xml:space="preserve">Reglas prácticas para que la propia entidad organice y sostenga la formación sin depender de terceros:</w:t>
      </w:r>
    </w:p>
    <w:p>
      <w:pPr>
        <w:pStyle w:val="ListParagraph"/>
        <w:numPr>
          <w:ilvl w:val="0"/>
          <w:numId w:val="2"/>
        </w:numPr>
        <w:spacing w:after="80" w:line="276"/>
      </w:pPr>
      <w:r>
        <w:rPr>
          <w:sz w:val="21"/>
          <w:szCs w:val="21"/>
        </w:rPr>
        <w:t xml:space="preserve">Propiedad institucional: las decisiones de formación quedan en actas del Comité; la entidad controla su propio cronograma.</w:t>
      </w:r>
    </w:p>
    <w:p>
      <w:pPr>
        <w:pStyle w:val="ListParagraph"/>
        <w:numPr>
          <w:ilvl w:val="0"/>
          <w:numId w:val="2"/>
        </w:numPr>
        <w:spacing w:after="80" w:line="276"/>
      </w:pPr>
      <w:r>
        <w:rPr>
          <w:sz w:val="21"/>
          <w:szCs w:val="21"/>
        </w:rPr>
        <w:t xml:space="preserve">Baja conectividad primero: operación offline-first con sincronización por lotes en ventanas horarias definidas.</w:t>
      </w:r>
    </w:p>
    <w:p>
      <w:pPr>
        <w:pStyle w:val="ListParagraph"/>
        <w:numPr>
          <w:ilvl w:val="0"/>
          <w:numId w:val="2"/>
        </w:numPr>
        <w:spacing w:after="80" w:line="276"/>
      </w:pPr>
      <w:r>
        <w:rPr>
          <w:sz w:val="21"/>
          <w:szCs w:val="21"/>
        </w:rPr>
        <w:t xml:space="preserve">Pocas cosas bien hechas: priorizar la formación de los roles críticos antes de ampliar cobertura.</w:t>
      </w:r>
    </w:p>
    <w:p>
      <w:pPr>
        <w:pStyle w:val="ListParagraph"/>
        <w:numPr>
          <w:ilvl w:val="0"/>
          <w:numId w:val="2"/>
        </w:numPr>
        <w:spacing w:after="80" w:line="276"/>
      </w:pPr>
      <w:r>
        <w:rPr>
          <w:sz w:val="21"/>
          <w:szCs w:val="21"/>
        </w:rPr>
        <w:t xml:space="preserve">Evidencia mínima suficiente: cada logro de aprendizaje deja un registro auditable.</w:t>
      </w:r>
    </w:p>
    <w:p>
      <w:pPr>
        <w:pStyle w:val="ListParagraph"/>
        <w:numPr>
          <w:ilvl w:val="0"/>
          <w:numId w:val="2"/>
        </w:numPr>
        <w:spacing w:after="80" w:line="276"/>
      </w:pPr>
      <w:r>
        <w:rPr>
          <w:sz w:val="21"/>
          <w:szCs w:val="21"/>
        </w:rPr>
        <w:t xml:space="preserve">Mejora continua: revisión periódica del semáforo de formación e intercambio entre pares.</w:t>
      </w:r>
    </w:p>
    <w:p>
      <w:pPr>
        <w:spacing w:after="160" w:line="276"/>
      </w:pPr>
      <w:r>
        <w:rPr>
          <w:sz w:val="21"/>
          <w:szCs w:val="21"/>
        </w:rPr>
        <w:t xml:space="preserve">Paquete mínimo de arranque (primera semana): designación del responsable y del agente de enlace; calendario de Comité; mapa de segmentación diligenciado; kit de onboarding entregado (documento base + anexos esenciales); primer emparejamiento de mentoría activado.</w:t>
      </w:r>
    </w:p>
    <w:sectPr>
      <w:headerReference w:type="default" r:id="rId7"/>
      <w:footerReference w:type="default" r:id="rId8"/>
      <w:pgSz w:w="12240" w:h="15840" w:orient="portrait"/>
      <w:pgMar w:top="150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6"/>
        <w:szCs w:val="16"/>
      </w:rPr>
      <w:t xml:space="preserve">Página </w:t>
    </w:r>
    <w:r>
      <w:rPr>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center"/>
    </w:pPr>
    <w:r>
      <w:drawing>
        <wp:inline distT="0" distB="0" distL="0" distR="0">
          <wp:extent cx="2857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63ed285c83aa7efc9b542aa4f7f0778650ae53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2026-07-13T20:44:36.522Z</dcterms:created>
  <dcterms:modified xsi:type="dcterms:W3CDTF">2026-07-13T20:44:36.523Z</dcterms:modified>
</cp:coreProperties>
</file>

<file path=docProps/custom.xml><?xml version="1.0" encoding="utf-8"?>
<Properties xmlns="http://schemas.openxmlformats.org/officeDocument/2006/custom-properties" xmlns:vt="http://schemas.openxmlformats.org/officeDocument/2006/docPropsVTypes"/>
</file>